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ROSCI0358ZPB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bookmarkStart w:colFirst="0" w:colLast="0" w:name="_heading=h.ne4wre4r0d3a" w:id="0"/>
      <w:bookmarkEnd w:id="0"/>
      <w:r w:rsidDel="00000000" w:rsidR="00000000" w:rsidRPr="00000000">
        <w:rPr>
          <w:sz w:val="22"/>
          <w:szCs w:val="22"/>
          <w:rtl w:val="0"/>
        </w:rPr>
        <w:t xml:space="preserve">Pricop - Huta - Certeze</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bookmarkStart w:colFirst="0" w:colLast="0" w:name="_heading=h.t0z8bn58kj9g" w:id="1"/>
      <w:bookmarkEnd w:id="1"/>
      <w:r w:rsidDel="00000000" w:rsidR="00000000" w:rsidRPr="00000000">
        <w:rPr>
          <w:sz w:val="22"/>
          <w:szCs w:val="22"/>
          <w:rtl w:val="0"/>
        </w:rPr>
        <w:t xml:space="preserve">65,58</w:t>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2,07%</w:t>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RO11</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Nord - Vest</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Satu-Mare</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r w:rsidDel="00000000" w:rsidR="00000000" w:rsidRPr="00000000">
              <w:rPr>
                <w:sz w:val="22"/>
                <w:szCs w:val="22"/>
                <w:rtl w:val="0"/>
              </w:rPr>
              <w:t xml:space="preserve">☑ Alpină 99,61%</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r w:rsidDel="00000000" w:rsidR="00000000" w:rsidRPr="00000000">
              <w:rPr>
                <w:sz w:val="22"/>
                <w:szCs w:val="22"/>
                <w:rtl w:val="0"/>
              </w:rPr>
              <w:t xml:space="preserve">☑ Continentală 0,39%</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65,58</w:t>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şi a Ghidului de bune practici privind amenajarea pădurilor.</w:t>
      </w:r>
    </w:p>
    <w:p w:rsidR="00000000" w:rsidDel="00000000" w:rsidP="00000000" w:rsidRDefault="00000000" w:rsidRPr="00000000" w14:paraId="00000065">
      <w:pPr>
        <w:spacing w:after="0" w:line="240" w:lineRule="auto"/>
        <w:rPr>
          <w:sz w:val="22"/>
          <w:szCs w:val="22"/>
        </w:rPr>
      </w:pPr>
      <w:r w:rsidDel="00000000" w:rsidR="00000000" w:rsidRPr="00000000">
        <w:rPr>
          <w:rtl w:val="0"/>
        </w:rPr>
      </w:r>
    </w:p>
    <w:p w:rsidR="00000000" w:rsidDel="00000000" w:rsidP="00000000" w:rsidRDefault="00000000" w:rsidRPr="00000000" w14:paraId="00000066">
      <w:pPr>
        <w:spacing w:after="0" w:line="240" w:lineRule="auto"/>
        <w:rPr>
          <w:sz w:val="22"/>
          <w:szCs w:val="22"/>
        </w:rPr>
      </w:pPr>
      <w:r w:rsidDel="00000000" w:rsidR="00000000" w:rsidRPr="00000000">
        <w:rPr>
          <w:rtl w:val="0"/>
        </w:rPr>
      </w:r>
    </w:p>
    <w:p w:rsidR="00000000" w:rsidDel="00000000" w:rsidP="00000000" w:rsidRDefault="00000000" w:rsidRPr="00000000" w14:paraId="00000067">
      <w:pPr>
        <w:spacing w:after="0" w:line="240" w:lineRule="auto"/>
        <w:rPr>
          <w:sz w:val="22"/>
          <w:szCs w:val="22"/>
        </w:rPr>
      </w:pPr>
      <w:r w:rsidDel="00000000" w:rsidR="00000000" w:rsidRPr="00000000">
        <w:rPr>
          <w:rtl w:val="0"/>
        </w:rPr>
      </w:r>
    </w:p>
    <w:p w:rsidR="00000000" w:rsidDel="00000000" w:rsidP="00000000" w:rsidRDefault="00000000" w:rsidRPr="00000000" w14:paraId="00000068">
      <w:pPr>
        <w:spacing w:after="0" w:line="240" w:lineRule="auto"/>
        <w:rPr>
          <w:sz w:val="22"/>
          <w:szCs w:val="22"/>
        </w:rPr>
      </w:pPr>
      <w:r w:rsidDel="00000000" w:rsidR="00000000" w:rsidRPr="00000000">
        <w:rPr>
          <w:rtl w:val="0"/>
        </w:rPr>
      </w:r>
    </w:p>
    <w:p w:rsidR="00000000" w:rsidDel="00000000" w:rsidP="00000000" w:rsidRDefault="00000000" w:rsidRPr="00000000" w14:paraId="00000069">
      <w:pPr>
        <w:spacing w:after="0" w:line="240" w:lineRule="auto"/>
        <w:rPr>
          <w:sz w:val="22"/>
          <w:szCs w:val="22"/>
        </w:rPr>
      </w:pPr>
      <w:r w:rsidDel="00000000" w:rsidR="00000000" w:rsidRPr="00000000">
        <w:rPr>
          <w:rtl w:val="0"/>
        </w:rPr>
      </w:r>
    </w:p>
    <w:p w:rsidR="00000000" w:rsidDel="00000000" w:rsidP="00000000" w:rsidRDefault="00000000" w:rsidRPr="00000000" w14:paraId="0000006A">
      <w:pPr>
        <w:spacing w:after="0" w:line="240" w:lineRule="auto"/>
        <w:rPr>
          <w:sz w:val="22"/>
          <w:szCs w:val="22"/>
        </w:rPr>
      </w:pPr>
      <w:r w:rsidDel="00000000" w:rsidR="00000000" w:rsidRPr="00000000">
        <w:rPr>
          <w:sz w:val="22"/>
          <w:szCs w:val="22"/>
          <w:rtl w:val="0"/>
        </w:rPr>
        <w:t xml:space="preserve">Informația ecologică</w:t>
      </w:r>
    </w:p>
    <w:p w:rsidR="00000000" w:rsidDel="00000000" w:rsidP="00000000" w:rsidRDefault="00000000" w:rsidRPr="00000000" w14:paraId="0000006B">
      <w:pPr>
        <w:spacing w:after="0" w:line="240" w:lineRule="auto"/>
        <w:rPr>
          <w:sz w:val="22"/>
          <w:szCs w:val="22"/>
        </w:rPr>
      </w:pPr>
      <w:r w:rsidDel="00000000" w:rsidR="00000000" w:rsidRPr="00000000">
        <w:rPr>
          <w:rtl w:val="0"/>
        </w:rPr>
      </w:r>
    </w:p>
    <w:tbl>
      <w:tblPr>
        <w:tblStyle w:val="Table8"/>
        <w:tblW w:w="8964.0" w:type="dxa"/>
        <w:jc w:val="left"/>
        <w:tblInd w:w="10.0" w:type="dxa"/>
        <w:tblLayout w:type="fixed"/>
        <w:tblLook w:val="04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24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24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240" w:lineRule="auto"/>
              <w:rPr>
                <w:b w:val="1"/>
                <w:bCs w:val="1"/>
                <w:sz w:val="22"/>
                <w:szCs w:val="22"/>
              </w:rPr>
            </w:pPr>
            <w:r w:rsidDel="00000000" w:rsidR="00000000" w:rsidRPr="00000000">
              <w:rPr>
                <w:b w:val="1"/>
                <w:bCs w:val="1"/>
                <w:sz w:val="22"/>
                <w:szCs w:val="22"/>
                <w:rtl w:val="0"/>
              </w:rPr>
              <w:t xml:space="preserve">Habitate forestiere:</w:t>
            </w:r>
          </w:p>
          <w:p w:rsidR="00000000" w:rsidDel="00000000" w:rsidP="00000000" w:rsidRDefault="00000000" w:rsidRPr="00000000" w14:paraId="00000070">
            <w:pPr>
              <w:spacing w:after="0" w:line="240" w:lineRule="auto"/>
              <w:rPr>
                <w:sz w:val="22"/>
                <w:szCs w:val="22"/>
              </w:rPr>
            </w:pPr>
            <w:r w:rsidDel="00000000" w:rsidR="00000000" w:rsidRPr="00000000">
              <w:rPr>
                <w:sz w:val="22"/>
                <w:szCs w:val="22"/>
                <w:rtl w:val="0"/>
              </w:rPr>
              <w:t xml:space="preserve">91V0 Păduri dacice de fag (Symphyto-Fagion) </w:t>
            </w:r>
          </w:p>
          <w:p w:rsidR="00000000" w:rsidDel="00000000" w:rsidP="00000000" w:rsidRDefault="00000000" w:rsidRPr="00000000" w14:paraId="00000071">
            <w:pPr>
              <w:spacing w:after="0" w:line="240" w:lineRule="auto"/>
              <w:rPr>
                <w:sz w:val="22"/>
                <w:szCs w:val="22"/>
              </w:rPr>
            </w:pPr>
            <w:r w:rsidDel="00000000" w:rsidR="00000000" w:rsidRPr="00000000">
              <w:rPr>
                <w:sz w:val="22"/>
                <w:szCs w:val="22"/>
                <w:rtl w:val="0"/>
              </w:rPr>
              <w:t xml:space="preserve">9170 Păduri de stejar cu carpen de tip Galio-Carpinetum</w:t>
            </w:r>
          </w:p>
          <w:p w:rsidR="00000000" w:rsidDel="00000000" w:rsidP="00000000" w:rsidRDefault="00000000" w:rsidRPr="00000000" w14:paraId="00000072">
            <w:pPr>
              <w:spacing w:after="0" w:line="240" w:lineRule="auto"/>
              <w:rPr>
                <w:sz w:val="22"/>
                <w:szCs w:val="22"/>
              </w:rPr>
            </w:pPr>
            <w:r w:rsidDel="00000000" w:rsidR="00000000" w:rsidRPr="00000000">
              <w:rPr>
                <w:sz w:val="22"/>
                <w:szCs w:val="22"/>
                <w:rtl w:val="0"/>
              </w:rPr>
              <w:t xml:space="preserve">9130 Păduri de fag de tip Asperulo-Fagetum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24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i w:val="1"/>
                <w:iCs w:val="1"/>
                <w:sz w:val="22"/>
                <w:szCs w:val="22"/>
                <w:rtl w:val="0"/>
              </w:rPr>
              <w:t xml:space="preserve">1166 Triturus cristatus</w:t>
            </w: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i w:val="1"/>
                <w:iCs w:val="1"/>
                <w:sz w:val="22"/>
                <w:szCs w:val="22"/>
                <w:rtl w:val="0"/>
              </w:rPr>
              <w:t xml:space="preserve">2001 Triturus montandoni</w:t>
            </w: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1193 Bombina variegata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300" w:lineRule="auto"/>
              <w:jc w:val="both"/>
              <w:rPr>
                <w:b w:val="1"/>
                <w:bCs w:val="1"/>
                <w:sz w:val="22"/>
                <w:szCs w:val="22"/>
              </w:rPr>
            </w:pPr>
            <w:r w:rsidDel="00000000" w:rsidR="00000000" w:rsidRPr="00000000">
              <w:rPr>
                <w:sz w:val="22"/>
                <w:szCs w:val="22"/>
                <w:rtl w:val="0"/>
              </w:rPr>
              <w:t xml:space="preserve">Această zonă reprezintă un complex forestier subcarpatic de o valoare ecologică excepțională, caracterizat printr-o integritate structurală ridicată și o conectivitate peisageră optimă. Coexistența habitatelor de făgete dacice (91V0), făgete de tip Asperulo-Fagetum (9130) și șleauri de deal (9170) asigură o mare diversitate de nișe ecologice pe un gradient altitudinal stabil. Valoarea conservativă este demonstrată de prezența carnivorelor mari, specii umbrelă și indicatoare de habitate forestiere vaste, cu un grad minim de fragmentare și deranj antropic. Totodată, prezența liliacului mare cu potcoavă (Rhinolophus ferrumequinum) confirmă existența arbori bătrâni cu scorburi voluminoase în masivul forestier utilizat ca teritoriu de hrănire. La baza rețelei trofice, zonele umede intrasilvatice, izvoarele de pantă și microbazinele adăpostesc o comunitate valoroasă de amfibieni protejați, incluzând tritonul cu creastă (Triturus cristatus), tritonul carpatic (Triturus montandoni) și izvorașul cu burtă galbenă (Bombina variegata). </w:t>
            </w:r>
            <w:r w:rsidDel="00000000" w:rsidR="00000000" w:rsidRPr="00000000">
              <w:rPr>
                <w:rtl w:val="0"/>
              </w:rPr>
            </w:r>
          </w:p>
          <w:p w:rsidR="00000000" w:rsidDel="00000000" w:rsidP="00000000" w:rsidRDefault="00000000" w:rsidRPr="00000000" w14:paraId="00000080">
            <w:pPr>
              <w:spacing w:after="0" w:line="300" w:lineRule="auto"/>
              <w:jc w:val="both"/>
              <w:rPr>
                <w:sz w:val="22"/>
                <w:szCs w:val="22"/>
              </w:rPr>
            </w:pPr>
            <w:r w:rsidDel="00000000" w:rsidR="00000000" w:rsidRPr="00000000">
              <w:rPr>
                <w:sz w:val="22"/>
                <w:szCs w:val="22"/>
                <w:rtl w:val="0"/>
              </w:rPr>
              <w:t xml:space="preserve">Desemnarea ca ZPB se fundamentează pe valoarea conservativă cumulată a habitatelor și speciilor de interes comunitar, naturalitatea ridicată a ecosistemelor și contribuția la prevenirea și reducerea efectelor schimbărilor climatice.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300" w:lineRule="auto"/>
              <w:jc w:val="both"/>
              <w:rPr>
                <w:sz w:val="22"/>
                <w:szCs w:val="22"/>
              </w:rPr>
            </w:pPr>
            <w:r w:rsidDel="00000000" w:rsidR="00000000" w:rsidRPr="00000000">
              <w:rPr>
                <w:sz w:val="22"/>
                <w:szCs w:val="22"/>
                <w:rtl w:val="0"/>
              </w:rPr>
              <w:t xml:space="preserve">B02 Gestionarea și utilizarea pădurii și plantației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85">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7">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8E">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0">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A3">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0A4">
      <w:pPr>
        <w:spacing w:after="0" w:line="24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A5">
      <w:pPr>
        <w:pBdr>
          <w:top w:color="000000" w:space="0" w:sz="6" w:val="single"/>
          <w:left w:color="000000" w:space="0" w:sz="6" w:val="single"/>
          <w:bottom w:color="000000" w:space="0" w:sz="6" w:val="single"/>
          <w:right w:color="000000" w:space="0" w:sz="6" w:val="single"/>
        </w:pBdr>
        <w:spacing w:after="0" w:line="240" w:lineRule="auto"/>
        <w:ind w:firstLine="20"/>
        <w:jc w:val="both"/>
        <w:rPr>
          <w:sz w:val="22"/>
          <w:szCs w:val="22"/>
        </w:rPr>
      </w:pPr>
      <w:r w:rsidDel="00000000" w:rsidR="00000000" w:rsidRPr="00000000">
        <w:rPr>
          <w:sz w:val="22"/>
          <w:szCs w:val="22"/>
          <w:rtl w:val="0"/>
        </w:rPr>
        <w:t xml:space="preserve">Ardelean, G., Ștefănescu, D. (2000) Chiropterele din județul Maramureș. Studii și comunicări. Vol. I - Științele naturii. Satu Mare. p. 239-241.</w:t>
      </w:r>
    </w:p>
    <w:p w:rsidR="00000000" w:rsidDel="00000000" w:rsidP="00000000" w:rsidRDefault="00000000" w:rsidRPr="00000000" w14:paraId="000000A6">
      <w:pPr>
        <w:pBdr>
          <w:top w:color="000000" w:space="0" w:sz="6" w:val="single"/>
          <w:left w:color="000000" w:space="0" w:sz="6" w:val="single"/>
          <w:bottom w:color="000000" w:space="0" w:sz="6" w:val="single"/>
          <w:right w:color="000000" w:space="0" w:sz="6" w:val="single"/>
        </w:pBdr>
        <w:spacing w:after="0" w:line="240" w:lineRule="auto"/>
        <w:ind w:firstLine="20"/>
        <w:jc w:val="both"/>
        <w:rPr>
          <w:sz w:val="22"/>
          <w:szCs w:val="22"/>
        </w:rPr>
      </w:pPr>
      <w:r w:rsidDel="00000000" w:rsidR="00000000" w:rsidRPr="00000000">
        <w:rPr>
          <w:sz w:val="22"/>
          <w:szCs w:val="22"/>
          <w:rtl w:val="0"/>
        </w:rPr>
        <w:t xml:space="preserve">Ardelean, G., Bereș, I. (2000) Conspectul mamalofaunei Maramureșului. Studii și comunicări. Vol. I - Științele naturii. Satu Mare. p. 254-267.</w:t>
      </w:r>
    </w:p>
    <w:p w:rsidR="00000000" w:rsidDel="00000000" w:rsidP="00000000" w:rsidRDefault="00000000" w:rsidRPr="00000000" w14:paraId="000000A7">
      <w:pPr>
        <w:pBdr>
          <w:top w:color="000000" w:space="0" w:sz="6" w:val="single"/>
          <w:left w:color="000000" w:space="0" w:sz="6" w:val="single"/>
          <w:bottom w:color="000000" w:space="0" w:sz="6" w:val="single"/>
          <w:right w:color="000000" w:space="0" w:sz="6" w:val="single"/>
        </w:pBdr>
        <w:spacing w:after="0" w:line="240" w:lineRule="auto"/>
        <w:ind w:firstLine="20"/>
        <w:jc w:val="both"/>
        <w:rPr>
          <w:sz w:val="22"/>
          <w:szCs w:val="22"/>
        </w:rPr>
      </w:pPr>
      <w:r w:rsidDel="00000000" w:rsidR="00000000" w:rsidRPr="00000000">
        <w:rPr>
          <w:sz w:val="22"/>
          <w:szCs w:val="22"/>
          <w:rtl w:val="0"/>
        </w:rPr>
        <w:t xml:space="preserve">Ardelean, G., Bereș, I. (2000) Fauna de vertebrate a Maramureșului. Editura Dacia.</w:t>
      </w:r>
    </w:p>
    <w:p w:rsidR="00000000" w:rsidDel="00000000" w:rsidP="00000000" w:rsidRDefault="00000000" w:rsidRPr="00000000" w14:paraId="000000A8">
      <w:pPr>
        <w:pBdr>
          <w:top w:color="000000" w:space="0" w:sz="6" w:val="single"/>
          <w:left w:color="000000" w:space="0" w:sz="6" w:val="single"/>
          <w:bottom w:color="000000" w:space="0" w:sz="6" w:val="single"/>
          <w:right w:color="000000" w:space="0" w:sz="6" w:val="single"/>
        </w:pBdr>
        <w:spacing w:after="0" w:line="240" w:lineRule="auto"/>
        <w:ind w:firstLine="20"/>
        <w:jc w:val="both"/>
        <w:rPr>
          <w:sz w:val="22"/>
          <w:szCs w:val="22"/>
        </w:rPr>
      </w:pPr>
      <w:r w:rsidDel="00000000" w:rsidR="00000000" w:rsidRPr="00000000">
        <w:rPr>
          <w:sz w:val="22"/>
          <w:szCs w:val="22"/>
          <w:rtl w:val="0"/>
        </w:rPr>
        <w:t xml:space="preserve">Ştefureac Tr., 1971, Consideraţii generale asupra caracterului florei din ţinutul  Maramureşului, Com. de Bot., SSB: 95-123 + 14 fig.</w:t>
      </w:r>
    </w:p>
    <w:p w:rsidR="00000000" w:rsidDel="00000000" w:rsidP="00000000" w:rsidRDefault="00000000" w:rsidRPr="00000000" w14:paraId="000000A9">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A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4"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venjbad48mtw" w:id="2"/>
      <w:bookmarkEnd w:id="2"/>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19 septembrie 2024 – Satu Mare. Ulterior, în cadrul procesului de consultare extins la nivel național, au avut loc consultări suplimentare online, în data de 9 decembrie 2025 cu participarea factorilor interesati relevanți din judetul Satu Mare și apoi au avut loc consultări publice la Prefectura Satu Mare in perioada 5-6 februarie 2026</w:t>
      </w:r>
    </w:p>
    <w:p w:rsidR="00000000" w:rsidDel="00000000" w:rsidP="00000000" w:rsidRDefault="00000000" w:rsidRPr="00000000" w14:paraId="000000A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AC">
      <w:pPr>
        <w:spacing w:after="0" w:line="300" w:lineRule="auto"/>
        <w:jc w:val="center"/>
        <w:rPr>
          <w:b w:val="1"/>
          <w:bCs w:val="1"/>
          <w:sz w:val="22"/>
          <w:szCs w:val="22"/>
        </w:rPr>
      </w:pPr>
      <w:r w:rsidDel="00000000" w:rsidR="00000000" w:rsidRPr="00000000">
        <w:rPr>
          <w:rtl w:val="0"/>
        </w:rPr>
      </w:r>
    </w:p>
    <w:p w:rsidR="00000000" w:rsidDel="00000000" w:rsidP="00000000" w:rsidRDefault="00000000" w:rsidRPr="00000000" w14:paraId="000000AD">
      <w:pPr>
        <w:spacing w:after="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AE">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 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AF">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SjZPraNL4Z8VXP4YmHT4bntNLA==">CgMxLjAyDmgubmU0d3JlNHIwZDNhMg5oLnQwejhibjU4a2o5ZzIOaC52ZW5qYmFkNDhtdHc4AHIhMTcyc29fWjdWaFBVSnlfNWVIVzdZZFYtT0pTZy1SaVpu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